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0CBFB" w14:textId="77777777" w:rsidR="009270A1" w:rsidRDefault="009270A1" w:rsidP="004C11B6">
      <w:pPr>
        <w:pStyle w:val="BodyText"/>
        <w:ind w:left="120"/>
        <w:jc w:val="center"/>
      </w:pPr>
    </w:p>
    <w:p w14:paraId="366082CB" w14:textId="242088E7" w:rsidR="00000541" w:rsidRPr="00215F6F" w:rsidRDefault="004C11B6" w:rsidP="004C11B6">
      <w:pPr>
        <w:pStyle w:val="BodyText"/>
        <w:ind w:left="120"/>
        <w:jc w:val="center"/>
      </w:pPr>
      <w:r w:rsidRPr="00215F6F">
        <w:rPr>
          <w:noProof/>
        </w:rPr>
        <mc:AlternateContent>
          <mc:Choice Requires="wps">
            <w:drawing>
              <wp:inline distT="0" distB="0" distL="0" distR="0" wp14:anchorId="6AC6CBE0" wp14:editId="54402FB6">
                <wp:extent cx="5944235" cy="28575"/>
                <wp:effectExtent l="0" t="0" r="0" b="9525"/>
                <wp:docPr id="1940308952" name="Graphic 3"/>
                <wp:cNvGraphicFramePr/>
                <a:graphic xmlns:a="http://schemas.openxmlformats.org/drawingml/2006/main">
                  <a:graphicData uri="http://schemas.microsoft.com/office/word/2010/wordprocessingShape">
                    <wps:wsp>
                      <wps:cNvSpPr/>
                      <wps:spPr>
                        <a:xfrm>
                          <a:off x="0" y="0"/>
                          <a:ext cx="5944235" cy="28575"/>
                        </a:xfrm>
                        <a:custGeom>
                          <a:avLst/>
                          <a:gdLst/>
                          <a:ahLst/>
                          <a:cxnLst/>
                          <a:rect l="l" t="t" r="r" b="b"/>
                          <a:pathLst>
                            <a:path w="5944235" h="28575">
                              <a:moveTo>
                                <a:pt x="5943650" y="0"/>
                              </a:moveTo>
                              <a:lnTo>
                                <a:pt x="0" y="0"/>
                              </a:lnTo>
                              <a:lnTo>
                                <a:pt x="0" y="28575"/>
                              </a:lnTo>
                              <a:lnTo>
                                <a:pt x="5943650" y="28575"/>
                              </a:lnTo>
                              <a:lnTo>
                                <a:pt x="5943650" y="0"/>
                              </a:lnTo>
                              <a:close/>
                            </a:path>
                          </a:pathLst>
                        </a:custGeom>
                        <a:solidFill>
                          <a:srgbClr val="231F20"/>
                        </a:solidFill>
                      </wps:spPr>
                      <wps:bodyPr wrap="square" lIns="0" tIns="0" rIns="0" bIns="0" rtlCol="0">
                        <a:prstTxWarp prst="textNoShape">
                          <a:avLst/>
                        </a:prstTxWarp>
                        <a:noAutofit/>
                      </wps:bodyPr>
                    </wps:wsp>
                  </a:graphicData>
                </a:graphic>
              </wp:inline>
            </w:drawing>
          </mc:Choice>
          <mc:Fallback>
            <w:pict>
              <v:shape w14:anchorId="340D4F57" id="Graphic 3" o:spid="_x0000_s1026" style="width:468.05pt;height:2.25pt;visibility:visible;mso-wrap-style:square;mso-left-percent:-10001;mso-top-percent:-10001;mso-position-horizontal:absolute;mso-position-horizontal-relative:char;mso-position-vertical:absolute;mso-position-vertical-relative:line;mso-left-percent:-10001;mso-top-percent:-10001;v-text-anchor:top" coordsize="594423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" path="m5943650,l,,,28575r5943650,l5943650,xe" fillcolor="#231f20" stroked="f">
                <v:path arrowok="t"/>
                <w10:anchorlock/>
              </v:shape>
            </w:pict>
          </mc:Fallback>
        </mc:AlternateContent>
      </w:r>
    </w:p>
    <w:p w14:paraId="2F86648A" w14:textId="77777777" w:rsidR="00000541" w:rsidRPr="00215F6F" w:rsidRDefault="00000541" w:rsidP="00000541">
      <w:pPr>
        <w:pStyle w:val="BodyText"/>
        <w:spacing w:before="22"/>
      </w:pPr>
    </w:p>
    <w:p w14:paraId="51CBBDDA" w14:textId="08219D6E" w:rsidR="00000541" w:rsidRPr="00403E9D" w:rsidRDefault="00000541" w:rsidP="00403E9D">
      <w:pPr>
        <w:pStyle w:val="Title"/>
        <w:ind w:left="29" w:right="29"/>
      </w:pPr>
      <w:r w:rsidRPr="00403E9D">
        <w:rPr>
          <w:color w:val="231F20"/>
        </w:rPr>
        <w:t>ETHICS</w:t>
      </w:r>
      <w:r w:rsidRPr="00403E9D">
        <w:rPr>
          <w:color w:val="231F20"/>
          <w:spacing w:val="-3"/>
        </w:rPr>
        <w:t xml:space="preserve"> </w:t>
      </w:r>
      <w:r w:rsidRPr="00403E9D">
        <w:rPr>
          <w:color w:val="231F20"/>
        </w:rPr>
        <w:t>ADVISORY OPINION</w:t>
      </w:r>
      <w:r w:rsidRPr="00403E9D">
        <w:rPr>
          <w:color w:val="231F20"/>
          <w:spacing w:val="-3"/>
        </w:rPr>
        <w:t xml:space="preserve"> </w:t>
      </w:r>
      <w:r w:rsidRPr="00403E9D">
        <w:rPr>
          <w:color w:val="231F20"/>
        </w:rPr>
        <w:t>NO.</w:t>
      </w:r>
      <w:r w:rsidRPr="00403E9D">
        <w:rPr>
          <w:color w:val="231F20"/>
          <w:spacing w:val="-2"/>
        </w:rPr>
        <w:t xml:space="preserve"> </w:t>
      </w:r>
      <w:r w:rsidR="00016A84">
        <w:rPr>
          <w:color w:val="231F20"/>
          <w:spacing w:val="-2"/>
        </w:rPr>
        <w:t>638</w:t>
      </w:r>
    </w:p>
    <w:p w14:paraId="7F681DF3" w14:textId="41404D8D" w:rsidR="00000541" w:rsidRPr="00215F6F" w:rsidRDefault="00000541" w:rsidP="00403E9D">
      <w:pPr>
        <w:pStyle w:val="BodyText"/>
        <w:spacing w:before="197" w:after="240"/>
        <w:jc w:val="center"/>
        <w:rPr>
          <w:i/>
        </w:rPr>
      </w:pPr>
      <w:r w:rsidRPr="00215F6F">
        <w:rPr>
          <w:noProof/>
        </w:rPr>
        <mc:AlternateContent>
          <mc:Choice Requires="wps">
            <w:drawing>
              <wp:anchor distT="0" distB="0" distL="0" distR="0" simplePos="0" relativeHeight="251658240" behindDoc="1" locked="0" layoutInCell="1" allowOverlap="1" wp14:anchorId="5D4955C8" wp14:editId="616CC148">
                <wp:simplePos x="0" y="0"/>
                <wp:positionH relativeFrom="page">
                  <wp:posOffset>914400</wp:posOffset>
                </wp:positionH>
                <wp:positionV relativeFrom="paragraph">
                  <wp:posOffset>286419</wp:posOffset>
                </wp:positionV>
                <wp:extent cx="5944235" cy="2857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28575"/>
                        </a:xfrm>
                        <a:custGeom>
                          <a:avLst/>
                          <a:gdLst/>
                          <a:ahLst/>
                          <a:cxnLst/>
                          <a:rect l="l" t="t" r="r" b="b"/>
                          <a:pathLst>
                            <a:path w="5944235" h="28575">
                              <a:moveTo>
                                <a:pt x="5943650" y="0"/>
                              </a:moveTo>
                              <a:lnTo>
                                <a:pt x="0" y="0"/>
                              </a:lnTo>
                              <a:lnTo>
                                <a:pt x="0" y="28575"/>
                              </a:lnTo>
                              <a:lnTo>
                                <a:pt x="5943650" y="28575"/>
                              </a:lnTo>
                              <a:lnTo>
                                <a:pt x="5943650"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07DD297" id="Graphic 7" o:spid="_x0000_s1026" style="position:absolute;margin-left:1in;margin-top:22.55pt;width:468.05pt;height:2.25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4423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" path="m5943650,l,,,28575r5943650,l5943650,xe" fillcolor="#231f20" stroked="f">
                <v:path arrowok="t"/>
                <w10:wrap type="topAndBottom" anchorx="page"/>
              </v:shape>
            </w:pict>
          </mc:Fallback>
        </mc:AlternateContent>
      </w:r>
      <w:r w:rsidR="00016A84">
        <w:rPr>
          <w:i/>
          <w:color w:val="231F20"/>
        </w:rPr>
        <w:t>February 11, 2026</w:t>
      </w:r>
    </w:p>
    <w:p w14:paraId="584A6635" w14:textId="77777777" w:rsidR="00000541" w:rsidRPr="00215F6F" w:rsidRDefault="00000541" w:rsidP="00330AE4">
      <w:pPr>
        <w:pStyle w:val="Heading1"/>
        <w:spacing w:after="240"/>
      </w:pPr>
      <w:r w:rsidRPr="00215F6F">
        <w:rPr>
          <w:color w:val="231F20"/>
          <w:spacing w:val="-2"/>
        </w:rPr>
        <w:t>ISSUE</w:t>
      </w:r>
    </w:p>
    <w:p w14:paraId="65B3EEA2" w14:textId="759B8766" w:rsidR="00000541" w:rsidRPr="00215F6F" w:rsidRDefault="004817BC" w:rsidP="004817BC">
      <w:pPr>
        <w:spacing w:after="240"/>
        <w:ind w:left="115" w:right="274"/>
        <w:contextualSpacing/>
        <w:jc w:val="both"/>
        <w:rPr>
          <w:b/>
          <w:i/>
          <w:sz w:val="24"/>
          <w:szCs w:val="24"/>
        </w:rPr>
      </w:pPr>
      <w:r w:rsidRPr="00215F6F">
        <w:rPr>
          <w:rStyle w:val="Emphasis"/>
          <w:color w:val="000000"/>
          <w:sz w:val="24"/>
          <w:szCs w:val="24"/>
          <w:shd w:val="clear" w:color="auto" w:fill="FFFFFF"/>
        </w:rPr>
        <w:t xml:space="preserve">Whether </w:t>
      </w:r>
      <w:bookmarkStart w:id="0" w:name="_Hlk220411435"/>
      <w:r w:rsidR="008A6A41">
        <w:rPr>
          <w:rStyle w:val="Emphasis"/>
          <w:color w:val="000000"/>
          <w:sz w:val="24"/>
          <w:szCs w:val="24"/>
          <w:shd w:val="clear" w:color="auto" w:fill="FFFFFF"/>
        </w:rPr>
        <w:t>asking questions of or</w:t>
      </w:r>
      <w:r w:rsidRPr="00215F6F">
        <w:rPr>
          <w:rStyle w:val="Emphasis"/>
          <w:color w:val="000000"/>
          <w:sz w:val="24"/>
          <w:szCs w:val="24"/>
          <w:shd w:val="clear" w:color="auto" w:fill="FFFFFF"/>
        </w:rPr>
        <w:t xml:space="preserve"> requesting a formal written opinion from certain state officials</w:t>
      </w:r>
      <w:r w:rsidR="008A6A41">
        <w:rPr>
          <w:rStyle w:val="Emphasis"/>
          <w:color w:val="000000"/>
          <w:sz w:val="24"/>
          <w:szCs w:val="24"/>
          <w:shd w:val="clear" w:color="auto" w:fill="FFFFFF"/>
        </w:rPr>
        <w:t>,</w:t>
      </w:r>
      <w:r w:rsidR="00E501C7">
        <w:rPr>
          <w:rStyle w:val="Emphasis"/>
          <w:color w:val="000000"/>
          <w:sz w:val="24"/>
          <w:szCs w:val="24"/>
          <w:shd w:val="clear" w:color="auto" w:fill="FFFFFF"/>
        </w:rPr>
        <w:t xml:space="preserve"> </w:t>
      </w:r>
      <w:r w:rsidR="008A6A41">
        <w:rPr>
          <w:rStyle w:val="Emphasis"/>
          <w:color w:val="000000"/>
          <w:sz w:val="24"/>
          <w:szCs w:val="24"/>
          <w:shd w:val="clear" w:color="auto" w:fill="FFFFFF"/>
        </w:rPr>
        <w:t xml:space="preserve">without suggesting an answer to the questions, </w:t>
      </w:r>
      <w:r w:rsidRPr="00215F6F">
        <w:rPr>
          <w:rStyle w:val="Emphasis"/>
          <w:color w:val="000000"/>
          <w:sz w:val="24"/>
          <w:szCs w:val="24"/>
          <w:shd w:val="clear" w:color="auto" w:fill="FFFFFF"/>
        </w:rPr>
        <w:t>would require registration under Chapter 305, Texas Government Code</w:t>
      </w:r>
      <w:bookmarkEnd w:id="0"/>
      <w:r w:rsidRPr="00215F6F">
        <w:rPr>
          <w:rStyle w:val="Emphasis"/>
          <w:color w:val="000000"/>
          <w:sz w:val="24"/>
          <w:szCs w:val="24"/>
          <w:shd w:val="clear" w:color="auto" w:fill="FFFFFF"/>
        </w:rPr>
        <w:t xml:space="preserve">. </w:t>
      </w:r>
      <w:r w:rsidR="00000541" w:rsidRPr="00215F6F">
        <w:rPr>
          <w:b/>
          <w:i/>
          <w:color w:val="231F20"/>
          <w:sz w:val="24"/>
          <w:szCs w:val="24"/>
        </w:rPr>
        <w:t>(AOR-</w:t>
      </w:r>
      <w:r w:rsidRPr="00215F6F">
        <w:rPr>
          <w:b/>
          <w:i/>
          <w:color w:val="231F20"/>
          <w:sz w:val="24"/>
          <w:szCs w:val="24"/>
        </w:rPr>
        <w:t>740</w:t>
      </w:r>
      <w:r w:rsidR="00000541" w:rsidRPr="00215F6F">
        <w:rPr>
          <w:b/>
          <w:i/>
          <w:color w:val="231F20"/>
          <w:sz w:val="24"/>
          <w:szCs w:val="24"/>
        </w:rPr>
        <w:t>)</w:t>
      </w:r>
    </w:p>
    <w:p w14:paraId="40315583" w14:textId="77777777" w:rsidR="00000541" w:rsidRPr="00215F6F" w:rsidRDefault="00000541" w:rsidP="00330AE4">
      <w:pPr>
        <w:pStyle w:val="Heading1"/>
        <w:spacing w:after="240"/>
        <w:ind w:left="24"/>
      </w:pPr>
      <w:r w:rsidRPr="00215F6F">
        <w:rPr>
          <w:color w:val="231F20"/>
          <w:spacing w:val="-2"/>
        </w:rPr>
        <w:t>SUMMARY</w:t>
      </w:r>
    </w:p>
    <w:p w14:paraId="3FAA5D67" w14:textId="5A3E6C20" w:rsidR="00000541" w:rsidRPr="00215F6F" w:rsidRDefault="003833C1" w:rsidP="00330AE4">
      <w:pPr>
        <w:pStyle w:val="BodyText"/>
        <w:spacing w:after="240"/>
        <w:ind w:right="149"/>
      </w:pPr>
      <w:r w:rsidRPr="00215F6F">
        <w:t>A request seeking the clarification of the operation of a law or to seek compliance with an existing law, without suggesting an answer, is not a communication to influence administrative or legislative action under Chapter 305 of the Government Code</w:t>
      </w:r>
      <w:r w:rsidR="00BA48F7">
        <w:t xml:space="preserve"> and would not require lobby registration</w:t>
      </w:r>
      <w:r w:rsidRPr="00215F6F">
        <w:t xml:space="preserve">. </w:t>
      </w:r>
    </w:p>
    <w:p w14:paraId="05CE17F5" w14:textId="77777777" w:rsidR="00000541" w:rsidRPr="00215F6F" w:rsidRDefault="00000541" w:rsidP="00330AE4">
      <w:pPr>
        <w:pStyle w:val="Heading1"/>
        <w:spacing w:after="240"/>
      </w:pPr>
      <w:r w:rsidRPr="00215F6F">
        <w:rPr>
          <w:color w:val="231F20"/>
          <w:spacing w:val="-2"/>
        </w:rPr>
        <w:t>FACTS</w:t>
      </w:r>
    </w:p>
    <w:p w14:paraId="781E32CA" w14:textId="34E6C03A" w:rsidR="008A1FB0" w:rsidRPr="00215F6F" w:rsidRDefault="003833C1" w:rsidP="004817BC">
      <w:pPr>
        <w:pStyle w:val="BodyText"/>
        <w:spacing w:after="240"/>
      </w:pPr>
      <w:r w:rsidRPr="00215F6F">
        <w:t>The requestor represents</w:t>
      </w:r>
      <w:r w:rsidR="004817BC" w:rsidRPr="00215F6F">
        <w:t xml:space="preserve"> an entity that meets the statutory definition of </w:t>
      </w:r>
      <w:r w:rsidR="00BA48F7">
        <w:t xml:space="preserve">a </w:t>
      </w:r>
      <w:r w:rsidR="004817BC" w:rsidRPr="00215F6F">
        <w:t xml:space="preserve">“foreign adversary” </w:t>
      </w:r>
      <w:r w:rsidR="008A6A41">
        <w:t xml:space="preserve">as that term is defined in Section 305.030 of the Government Code </w:t>
      </w:r>
      <w:r w:rsidRPr="00215F6F">
        <w:t xml:space="preserve">and </w:t>
      </w:r>
      <w:r w:rsidR="004817BC" w:rsidRPr="00215F6F">
        <w:t xml:space="preserve">intends to request clarification relating to a bill passed by the 89th Legislature that directly impacts the entity’s business practices. At issue is whether requesting a clarification from the bill author, the attorney general, or the relevant state agency, without suggesting an answer in any way, is considered </w:t>
      </w:r>
      <w:r w:rsidRPr="00215F6F">
        <w:t>a lobby communication</w:t>
      </w:r>
      <w:r w:rsidR="004817BC" w:rsidRPr="00215F6F">
        <w:t>.</w:t>
      </w:r>
    </w:p>
    <w:p w14:paraId="398F7249" w14:textId="77777777" w:rsidR="00000541" w:rsidRPr="00215F6F" w:rsidRDefault="00000541" w:rsidP="00330AE4">
      <w:pPr>
        <w:pStyle w:val="Heading1"/>
        <w:spacing w:after="240"/>
        <w:ind w:left="27"/>
      </w:pPr>
      <w:r w:rsidRPr="00215F6F">
        <w:rPr>
          <w:color w:val="231F20"/>
          <w:spacing w:val="-2"/>
        </w:rPr>
        <w:t>ANALYSIS</w:t>
      </w:r>
    </w:p>
    <w:p w14:paraId="268E8922" w14:textId="7BEE232F" w:rsidR="00BA48F7" w:rsidRPr="00BA48F7" w:rsidRDefault="004817BC" w:rsidP="00BA48F7">
      <w:pPr>
        <w:pStyle w:val="BodyText"/>
        <w:spacing w:after="240"/>
        <w:rPr>
          <w:strike/>
        </w:rPr>
      </w:pPr>
      <w:r w:rsidRPr="00215F6F">
        <w:rPr>
          <w:color w:val="000000"/>
        </w:rPr>
        <w:t>Under newly enacted legislation, a person is prohibited from receiving compensation from a “foreign adversary</w:t>
      </w:r>
      <w:r w:rsidR="00D92D1D" w:rsidRPr="00215F6F">
        <w:rPr>
          <w:color w:val="000000"/>
        </w:rPr>
        <w:t>,</w:t>
      </w:r>
      <w:r w:rsidRPr="00215F6F">
        <w:rPr>
          <w:color w:val="000000"/>
        </w:rPr>
        <w:t xml:space="preserve">” </w:t>
      </w:r>
      <w:r w:rsidR="00CF6DBE">
        <w:rPr>
          <w:color w:val="000000"/>
        </w:rPr>
        <w:t>“</w:t>
      </w:r>
      <w:r w:rsidR="00CF6DBE" w:rsidRPr="00CF6DBE">
        <w:t>foreign adversary client,” or “foreign adversary political party”</w:t>
      </w:r>
      <w:r w:rsidR="00CF6DBE" w:rsidRPr="00CF6DBE">
        <w:rPr>
          <w:color w:val="000000"/>
        </w:rPr>
        <w:t xml:space="preserve"> </w:t>
      </w:r>
      <w:r w:rsidR="00D92D1D" w:rsidRPr="00CF6DBE">
        <w:rPr>
          <w:color w:val="000000"/>
        </w:rPr>
        <w:t>to</w:t>
      </w:r>
      <w:r w:rsidR="00D92D1D" w:rsidRPr="00215F6F">
        <w:rPr>
          <w:color w:val="000000"/>
        </w:rPr>
        <w:t xml:space="preserve"> communicate with state lawmakers or administrators to influence legislative or administrative action. </w:t>
      </w:r>
      <w:r w:rsidR="00A00A5B" w:rsidRPr="00215F6F">
        <w:rPr>
          <w:color w:val="000000"/>
        </w:rPr>
        <w:t xml:space="preserve">Acts 2025, 89th Leg., R.S., Ch. 917 (H.B. </w:t>
      </w:r>
      <w:r w:rsidR="00A00A5B" w:rsidRPr="00FF75DB">
        <w:t>119</w:t>
      </w:r>
      <w:r w:rsidR="00A00A5B" w:rsidRPr="00215F6F">
        <w:rPr>
          <w:color w:val="000000"/>
        </w:rPr>
        <w:t xml:space="preserve">), Sec. 1, eff. September 1, 2025, </w:t>
      </w:r>
      <w:r w:rsidR="00D92D1D" w:rsidRPr="00215F6F">
        <w:rPr>
          <w:color w:val="000000"/>
        </w:rPr>
        <w:t xml:space="preserve">codified </w:t>
      </w:r>
      <w:r w:rsidR="00A00A5B" w:rsidRPr="00215F6F">
        <w:rPr>
          <w:color w:val="000000"/>
        </w:rPr>
        <w:t xml:space="preserve">at </w:t>
      </w:r>
      <w:r w:rsidR="004241EE" w:rsidRPr="00215F6F">
        <w:rPr>
          <w:color w:val="000000"/>
        </w:rPr>
        <w:t>Tex. Gov’t Code §</w:t>
      </w:r>
      <w:r w:rsidR="00D92D1D" w:rsidRPr="00215F6F">
        <w:rPr>
          <w:color w:val="000000"/>
        </w:rPr>
        <w:t xml:space="preserve"> 305.030</w:t>
      </w:r>
      <w:r w:rsidR="004241EE" w:rsidRPr="00215F6F">
        <w:rPr>
          <w:color w:val="000000"/>
        </w:rPr>
        <w:t>(b)</w:t>
      </w:r>
      <w:r w:rsidR="00D92D1D" w:rsidRPr="00215F6F">
        <w:rPr>
          <w:color w:val="000000"/>
        </w:rPr>
        <w:t xml:space="preserve">. </w:t>
      </w:r>
      <w:r w:rsidR="00A00A5B" w:rsidRPr="00215F6F">
        <w:rPr>
          <w:color w:val="000000"/>
        </w:rPr>
        <w:t>Under the same law, a</w:t>
      </w:r>
      <w:r w:rsidR="00D92D1D" w:rsidRPr="00215F6F">
        <w:rPr>
          <w:color w:val="000000"/>
        </w:rPr>
        <w:t xml:space="preserve"> person is also required to register as a lobbyist even if the person receives no compensation to</w:t>
      </w:r>
      <w:r w:rsidR="00BA48F7">
        <w:rPr>
          <w:color w:val="000000"/>
        </w:rPr>
        <w:t xml:space="preserve"> make a “</w:t>
      </w:r>
      <w:r w:rsidR="00BA48F7" w:rsidRPr="00BA48F7">
        <w:t>lobby communication,” on behalf of a foreign adversary</w:t>
      </w:r>
      <w:r w:rsidR="00BA48F7">
        <w:t xml:space="preserve">. </w:t>
      </w:r>
      <w:r w:rsidR="00BA48F7" w:rsidRPr="00BA48F7">
        <w:rPr>
          <w:i/>
          <w:iCs/>
        </w:rPr>
        <w:t xml:space="preserve">See </w:t>
      </w:r>
      <w:r w:rsidR="00BA48F7" w:rsidRPr="00BA48F7">
        <w:t>Tex. Gov’t Code § 305.003(a)(3).</w:t>
      </w:r>
      <w:r w:rsidR="00BA48F7">
        <w:t xml:space="preserve"> A lobby communication is</w:t>
      </w:r>
      <w:r w:rsidR="00BA48F7" w:rsidRPr="00BA48F7">
        <w:t xml:space="preserve"> a direct communication with one or more members of the legislative or executive branch to influence legislation or administrative action. </w:t>
      </w:r>
      <w:r w:rsidR="00D57D46" w:rsidRPr="00FC3488">
        <w:rPr>
          <w:i/>
          <w:iCs/>
        </w:rPr>
        <w:t>See</w:t>
      </w:r>
      <w:r w:rsidR="00D57D46">
        <w:t xml:space="preserve"> Tex. Gov’t Code </w:t>
      </w:r>
      <w:r w:rsidR="00D57D46" w:rsidRPr="00BA48F7">
        <w:t>§ </w:t>
      </w:r>
      <w:r w:rsidR="00786CD5">
        <w:t>305.002</w:t>
      </w:r>
      <w:r w:rsidR="00FF75DB">
        <w:t>(2</w:t>
      </w:r>
      <w:r w:rsidR="00743D7F">
        <w:t>-</w:t>
      </w:r>
      <w:r w:rsidR="00786CD5">
        <w:t>a</w:t>
      </w:r>
      <w:r w:rsidR="00FF75DB">
        <w:t>)</w:t>
      </w:r>
      <w:r w:rsidR="00786CD5">
        <w:t xml:space="preserve">. </w:t>
      </w:r>
    </w:p>
    <w:p w14:paraId="21F1459A" w14:textId="15FD84BD" w:rsidR="004241EE" w:rsidRPr="00215F6F" w:rsidRDefault="00D92D1D" w:rsidP="00FC3488">
      <w:pPr>
        <w:pStyle w:val="BodyText"/>
        <w:spacing w:after="240"/>
      </w:pPr>
      <w:r w:rsidRPr="00215F6F">
        <w:rPr>
          <w:color w:val="000000"/>
        </w:rPr>
        <w:t>The definition of “foreign adversary” includes not only foreign governments or persons designated as a foreign adversary by the U.S. secretary of commerce</w:t>
      </w:r>
      <w:r w:rsidRPr="00215F6F">
        <w:rPr>
          <w:rStyle w:val="FootnoteReference"/>
          <w:color w:val="000000"/>
        </w:rPr>
        <w:footnoteReference w:id="1"/>
      </w:r>
      <w:r w:rsidRPr="00215F6F">
        <w:rPr>
          <w:color w:val="000000"/>
        </w:rPr>
        <w:t xml:space="preserve"> </w:t>
      </w:r>
      <w:r w:rsidR="004241EE" w:rsidRPr="00215F6F">
        <w:rPr>
          <w:color w:val="000000"/>
        </w:rPr>
        <w:t xml:space="preserve">but also </w:t>
      </w:r>
      <w:r w:rsidR="004241EE" w:rsidRPr="00215F6F">
        <w:t xml:space="preserve">entities that are under the </w:t>
      </w:r>
      <w:r w:rsidR="004241EE" w:rsidRPr="00215F6F">
        <w:lastRenderedPageBreak/>
        <w:t>control, ownership, or influence of a foreign adversary.</w:t>
      </w:r>
      <w:r w:rsidR="008A6A41">
        <w:t xml:space="preserve"> The definition also includes business</w:t>
      </w:r>
      <w:r w:rsidR="00FC3488">
        <w:t>es</w:t>
      </w:r>
      <w:r w:rsidR="008A6A41">
        <w:t xml:space="preserve"> that </w:t>
      </w:r>
      <w:r w:rsidR="00FC3488">
        <w:t xml:space="preserve">have their principal place of business in or that are organized under the laws of a foreign adversary—including a parent or subsidiary of a domestic business organization. </w:t>
      </w:r>
      <w:r w:rsidR="004241EE" w:rsidRPr="00215F6F">
        <w:t xml:space="preserve"> </w:t>
      </w:r>
    </w:p>
    <w:p w14:paraId="40131BDE" w14:textId="2CFF3F30" w:rsidR="004241EE" w:rsidRPr="00FC3488" w:rsidRDefault="00A6644F" w:rsidP="00FC3488">
      <w:pPr>
        <w:pStyle w:val="BodyText"/>
        <w:rPr>
          <w:b/>
          <w:bCs/>
          <w:color w:val="000000"/>
        </w:rPr>
      </w:pPr>
      <w:r w:rsidRPr="00FC3488">
        <w:rPr>
          <w:b/>
          <w:bCs/>
          <w:color w:val="000000"/>
        </w:rPr>
        <w:t xml:space="preserve">A communication to determine the scope or applicability of a law or policy without attempting to change or seek an exception to the existing law or policy is not a “lobby communication.” </w:t>
      </w:r>
    </w:p>
    <w:p w14:paraId="722D9A14" w14:textId="1CCF709B" w:rsidR="00F04FD0" w:rsidRPr="00215F6F" w:rsidRDefault="003833C1" w:rsidP="003833C1">
      <w:pPr>
        <w:pStyle w:val="NormalWeb"/>
        <w:shd w:val="clear" w:color="auto" w:fill="FFFFFF"/>
        <w:spacing w:after="240"/>
      </w:pPr>
      <w:r w:rsidRPr="00215F6F">
        <w:rPr>
          <w:color w:val="000000"/>
        </w:rPr>
        <w:t>The requestor states he would like to communicate on behalf of a foreign adversary with a legislator</w:t>
      </w:r>
      <w:r w:rsidRPr="00215F6F">
        <w:t>, the attorney general, or the relevant state agency, seeking an interpretation of the scope of the law</w:t>
      </w:r>
      <w:r w:rsidR="007F752E">
        <w:t>,</w:t>
      </w:r>
      <w:r w:rsidRPr="00215F6F">
        <w:t xml:space="preserve"> or for the purpose of achieving compliance with existing law. </w:t>
      </w:r>
      <w:r w:rsidR="00CF6DBE">
        <w:t>The requestor states he would not suggest what he believes is the correct interpretation</w:t>
      </w:r>
      <w:r w:rsidR="007F752E">
        <w:t xml:space="preserve"> when communicating with the state officials</w:t>
      </w:r>
      <w:r w:rsidR="00CF6DBE">
        <w:t xml:space="preserve">. </w:t>
      </w:r>
    </w:p>
    <w:p w14:paraId="5BFECF05" w14:textId="491912B0" w:rsidR="00F04FD0" w:rsidRPr="00215F6F" w:rsidRDefault="00F04FD0" w:rsidP="00F04FD0">
      <w:pPr>
        <w:pStyle w:val="NormalWeb"/>
        <w:shd w:val="clear" w:color="auto" w:fill="FFFFFF"/>
        <w:contextualSpacing/>
      </w:pPr>
      <w:r w:rsidRPr="00215F6F">
        <w:t>TEC rules currently provide that “certain compensation” is excluded “for the purposes of calculating the registration threshold under Government Code §305.003(a)(2).” 1 Tex. Admin</w:t>
      </w:r>
      <w:r w:rsidR="00FF75DB">
        <w:t>.</w:t>
      </w:r>
      <w:r w:rsidRPr="00215F6F">
        <w:t xml:space="preserve"> Code § 34.5</w:t>
      </w:r>
      <w:r w:rsidR="00FF75DB">
        <w:t>.</w:t>
      </w:r>
      <w:r w:rsidRPr="00215F6F">
        <w:t xml:space="preserve"> That rule expressly exempts:</w:t>
      </w:r>
    </w:p>
    <w:p w14:paraId="78308B10" w14:textId="77777777" w:rsidR="00F04FD0" w:rsidRPr="00215F6F" w:rsidRDefault="00F04FD0" w:rsidP="00F04FD0">
      <w:pPr>
        <w:pStyle w:val="NormalWeb"/>
        <w:shd w:val="clear" w:color="auto" w:fill="FFFFFF"/>
        <w:contextualSpacing/>
      </w:pPr>
    </w:p>
    <w:p w14:paraId="42B52C68" w14:textId="7000682F" w:rsidR="00F04FD0" w:rsidRPr="00215F6F" w:rsidRDefault="00F04FD0" w:rsidP="00CF6DBE">
      <w:pPr>
        <w:pStyle w:val="NormalWeb"/>
        <w:numPr>
          <w:ilvl w:val="0"/>
          <w:numId w:val="7"/>
        </w:numPr>
        <w:shd w:val="clear" w:color="auto" w:fill="FFFFFF"/>
        <w:tabs>
          <w:tab w:val="left" w:pos="1080"/>
          <w:tab w:val="left" w:pos="1170"/>
        </w:tabs>
        <w:ind w:hanging="270"/>
        <w:contextualSpacing/>
      </w:pPr>
      <w:r w:rsidRPr="00215F6F">
        <w:t>“requesting a written opinion that interprets a law, regulation, rule, policy, practice, or procedure administered by a state office or agency;” and</w:t>
      </w:r>
    </w:p>
    <w:p w14:paraId="24180A19" w14:textId="77777777" w:rsidR="00F04FD0" w:rsidRPr="00215F6F" w:rsidRDefault="00F04FD0" w:rsidP="00CF6DBE">
      <w:pPr>
        <w:pStyle w:val="NormalWeb"/>
        <w:shd w:val="clear" w:color="auto" w:fill="FFFFFF"/>
        <w:tabs>
          <w:tab w:val="left" w:pos="1080"/>
          <w:tab w:val="left" w:pos="1170"/>
        </w:tabs>
        <w:ind w:left="720" w:hanging="270"/>
        <w:contextualSpacing/>
      </w:pPr>
    </w:p>
    <w:p w14:paraId="1FFCA379" w14:textId="14305C77" w:rsidR="00F04FD0" w:rsidRPr="00215F6F" w:rsidRDefault="00F04FD0" w:rsidP="00CF6DBE">
      <w:pPr>
        <w:pStyle w:val="NormalWeb"/>
        <w:numPr>
          <w:ilvl w:val="0"/>
          <w:numId w:val="7"/>
        </w:numPr>
        <w:shd w:val="clear" w:color="auto" w:fill="FFFFFF"/>
        <w:tabs>
          <w:tab w:val="left" w:pos="1080"/>
          <w:tab w:val="left" w:pos="1170"/>
        </w:tabs>
        <w:ind w:hanging="270"/>
        <w:contextualSpacing/>
      </w:pPr>
      <w:r w:rsidRPr="00215F6F">
        <w:t>“communicating for the purpose of achieving compliance with existing laws, rules, policies, and procedures.”</w:t>
      </w:r>
    </w:p>
    <w:p w14:paraId="6E0CFAD3" w14:textId="77777777" w:rsidR="00F04FD0" w:rsidRPr="00215F6F" w:rsidRDefault="00F04FD0" w:rsidP="00F04FD0">
      <w:pPr>
        <w:pStyle w:val="NormalWeb"/>
        <w:shd w:val="clear" w:color="auto" w:fill="FFFFFF"/>
        <w:contextualSpacing/>
      </w:pPr>
    </w:p>
    <w:p w14:paraId="6C39FF0A" w14:textId="39ACE840" w:rsidR="00F04FD0" w:rsidRPr="00215F6F" w:rsidRDefault="00FF75DB" w:rsidP="00F04FD0">
      <w:pPr>
        <w:pStyle w:val="NormalWeb"/>
        <w:shd w:val="clear" w:color="auto" w:fill="FFFFFF"/>
        <w:contextualSpacing/>
      </w:pPr>
      <w:r w:rsidRPr="00FF75DB">
        <w:rPr>
          <w:i/>
          <w:iCs/>
        </w:rPr>
        <w:t>Id</w:t>
      </w:r>
      <w:r w:rsidRPr="00FF75DB">
        <w:t xml:space="preserve">. at §34.5(a)(1), (4). </w:t>
      </w:r>
      <w:r w:rsidR="00C50670">
        <w:t>U</w:t>
      </w:r>
      <w:r w:rsidR="00C50670" w:rsidRPr="00215F6F">
        <w:t xml:space="preserve">nlike other lobby </w:t>
      </w:r>
      <w:r w:rsidR="00C50670">
        <w:t>communications</w:t>
      </w:r>
      <w:r w:rsidR="00C50670" w:rsidRPr="00215F6F">
        <w:t>, which require a person to receive a certain amount of compensation for lobbying before being required to register</w:t>
      </w:r>
      <w:r w:rsidR="00C50670">
        <w:t>, u</w:t>
      </w:r>
      <w:r w:rsidR="00A8765C">
        <w:t>ncompensated l</w:t>
      </w:r>
      <w:r w:rsidR="00A8765C" w:rsidRPr="00215F6F">
        <w:t xml:space="preserve">obbying for a foreign adversary triggers </w:t>
      </w:r>
      <w:r w:rsidR="00A8765C">
        <w:t xml:space="preserve">lobby registration. </w:t>
      </w:r>
      <w:r w:rsidR="00A00A5B" w:rsidRPr="00215F6F">
        <w:t>Tex. Gov’t Code § 305.003(a)</w:t>
      </w:r>
      <w:r w:rsidR="00C50670">
        <w:t xml:space="preserve">(2), </w:t>
      </w:r>
      <w:r w:rsidR="00A00A5B" w:rsidRPr="00215F6F">
        <w:t xml:space="preserve">(3). </w:t>
      </w:r>
      <w:r w:rsidR="00F04FD0" w:rsidRPr="00215F6F">
        <w:t xml:space="preserve">The requestor notes that the </w:t>
      </w:r>
      <w:r w:rsidR="00C50670">
        <w:t>R</w:t>
      </w:r>
      <w:r w:rsidR="00F04FD0" w:rsidRPr="00215F6F">
        <w:t xml:space="preserve">ule </w:t>
      </w:r>
      <w:r w:rsidR="00C50670">
        <w:t xml:space="preserve">34 </w:t>
      </w:r>
      <w:r w:rsidR="00A8765C">
        <w:t xml:space="preserve">exempting certain types of communication from the compensation threshold </w:t>
      </w:r>
      <w:r w:rsidR="00F04FD0" w:rsidRPr="00215F6F">
        <w:t>specifically applies to §305.003(a)(2)</w:t>
      </w:r>
      <w:r w:rsidR="007F752E">
        <w:t xml:space="preserve"> (related to the compensation threshold)</w:t>
      </w:r>
      <w:r w:rsidR="00F04FD0" w:rsidRPr="00215F6F">
        <w:t xml:space="preserve">, and “it is not clear at this time whether this type of conduct will also be exempt for the purposes of the newly enacted §305.003(a)(3).” </w:t>
      </w:r>
    </w:p>
    <w:p w14:paraId="1F655C88" w14:textId="4C05A64A" w:rsidR="00F04FD0" w:rsidRPr="00215F6F" w:rsidRDefault="00F04FD0" w:rsidP="00F04FD0">
      <w:pPr>
        <w:pStyle w:val="NormalWeb"/>
        <w:shd w:val="clear" w:color="auto" w:fill="FFFFFF"/>
        <w:contextualSpacing/>
      </w:pPr>
    </w:p>
    <w:p w14:paraId="12DFD7F1" w14:textId="1FF04C39" w:rsidR="00C50670" w:rsidRDefault="00A8765C" w:rsidP="00F04FD0">
      <w:pPr>
        <w:pStyle w:val="NormalWeb"/>
        <w:shd w:val="clear" w:color="auto" w:fill="FFFFFF"/>
        <w:contextualSpacing/>
      </w:pPr>
      <w:r>
        <w:t>We believe the exception</w:t>
      </w:r>
      <w:r w:rsidR="00C50670">
        <w:t>s</w:t>
      </w:r>
      <w:r>
        <w:t xml:space="preserve"> in Rule 34.5(a)(1) and (a)(4) </w:t>
      </w:r>
      <w:r w:rsidR="00C50670">
        <w:t xml:space="preserve">would apply to the communications proposed by the requestor because such are not lobby communications. </w:t>
      </w:r>
    </w:p>
    <w:p w14:paraId="7453BF90" w14:textId="3F59A852" w:rsidR="00C50670" w:rsidRDefault="00C50670" w:rsidP="00F04FD0">
      <w:pPr>
        <w:pStyle w:val="NormalWeb"/>
        <w:shd w:val="clear" w:color="auto" w:fill="FFFFFF"/>
        <w:contextualSpacing/>
      </w:pPr>
    </w:p>
    <w:p w14:paraId="499F8C30" w14:textId="2067E7E6" w:rsidR="00B450CA" w:rsidRPr="00215F6F" w:rsidRDefault="00F04FD0" w:rsidP="00F04FD0">
      <w:pPr>
        <w:pStyle w:val="NormalWeb"/>
        <w:shd w:val="clear" w:color="auto" w:fill="FFFFFF"/>
        <w:contextualSpacing/>
        <w:rPr>
          <w:i/>
          <w:iCs/>
        </w:rPr>
      </w:pPr>
      <w:r w:rsidRPr="00215F6F">
        <w:t xml:space="preserve">Near the time of enactment of </w:t>
      </w:r>
      <w:r w:rsidR="00A6644F" w:rsidRPr="00215F6F">
        <w:t xml:space="preserve">what is now </w:t>
      </w:r>
      <w:r w:rsidRPr="00215F6F">
        <w:t xml:space="preserve">Rule 34.5, the TEC issued advisory opinions interpreting whether certain communications would qualify as lobby communications under the statute. </w:t>
      </w:r>
      <w:r w:rsidR="00A6644F" w:rsidRPr="00215F6F">
        <w:rPr>
          <w:i/>
          <w:iCs/>
        </w:rPr>
        <w:t xml:space="preserve">See generally </w:t>
      </w:r>
      <w:r w:rsidR="00A6644F" w:rsidRPr="00215F6F">
        <w:t xml:space="preserve">Tex. Ethics </w:t>
      </w:r>
      <w:r w:rsidR="00215F6F">
        <w:t xml:space="preserve">Comm’n </w:t>
      </w:r>
      <w:r w:rsidR="00A6644F" w:rsidRPr="00215F6F">
        <w:t xml:space="preserve">Op. Nos. </w:t>
      </w:r>
      <w:r w:rsidR="00A6644F" w:rsidRPr="00FF75DB">
        <w:t>16</w:t>
      </w:r>
      <w:r w:rsidR="00A6644F" w:rsidRPr="00215F6F">
        <w:t xml:space="preserve">, </w:t>
      </w:r>
      <w:r w:rsidR="00A6644F" w:rsidRPr="00FF75DB">
        <w:t>15</w:t>
      </w:r>
      <w:r w:rsidR="00A6644F" w:rsidRPr="00215F6F">
        <w:t>, </w:t>
      </w:r>
      <w:r w:rsidR="00A6644F" w:rsidRPr="00FF75DB">
        <w:t>14</w:t>
      </w:r>
      <w:r w:rsidR="00A6644F" w:rsidRPr="00215F6F">
        <w:t> (1992).</w:t>
      </w:r>
      <w:r w:rsidR="002C6EF0" w:rsidRPr="00215F6F">
        <w:t xml:space="preserve"> The TEC opined that communications </w:t>
      </w:r>
      <w:r w:rsidR="00F30C94" w:rsidRPr="00215F6F">
        <w:t xml:space="preserve">“for purposes of the compensation threshold, that certain activities are not communications to influence legislation or administrative action and are not required to be reported on registration forms or activity reports.” </w:t>
      </w:r>
      <w:r w:rsidR="00C50670">
        <w:t xml:space="preserve">Tex. </w:t>
      </w:r>
      <w:r w:rsidR="00F30C94" w:rsidRPr="00215F6F">
        <w:t>E</w:t>
      </w:r>
      <w:r w:rsidR="00C50670">
        <w:t xml:space="preserve">thics Comm’n Op. No. </w:t>
      </w:r>
      <w:r w:rsidR="00F30C94" w:rsidRPr="00215F6F">
        <w:t>14</w:t>
      </w:r>
      <w:r w:rsidR="00FF75DB">
        <w:t xml:space="preserve"> (1992)</w:t>
      </w:r>
      <w:r w:rsidR="00F30C94" w:rsidRPr="00215F6F">
        <w:t xml:space="preserve">. </w:t>
      </w:r>
      <w:r w:rsidR="00B450CA" w:rsidRPr="00215F6F">
        <w:t xml:space="preserve">One such communication is a communication “for the purpose of compliance with existing laws, administrative rules, policies, and procedures, when there is no attempt to change or seek exceptions to such rules, policies, or procedures.” </w:t>
      </w:r>
      <w:r w:rsidR="00B450CA" w:rsidRPr="00215F6F">
        <w:rPr>
          <w:i/>
          <w:iCs/>
        </w:rPr>
        <w:t xml:space="preserve">Id. </w:t>
      </w:r>
    </w:p>
    <w:p w14:paraId="1BA06B0C" w14:textId="77777777" w:rsidR="00B450CA" w:rsidRPr="00215F6F" w:rsidRDefault="00B450CA" w:rsidP="00F04FD0">
      <w:pPr>
        <w:pStyle w:val="NormalWeb"/>
        <w:shd w:val="clear" w:color="auto" w:fill="FFFFFF"/>
        <w:contextualSpacing/>
        <w:rPr>
          <w:i/>
          <w:iCs/>
        </w:rPr>
      </w:pPr>
    </w:p>
    <w:p w14:paraId="489EDED0" w14:textId="7637172D" w:rsidR="00B450CA" w:rsidRPr="00215F6F" w:rsidRDefault="00B450CA" w:rsidP="00B450CA">
      <w:pPr>
        <w:pStyle w:val="NormalWeb"/>
        <w:shd w:val="clear" w:color="auto" w:fill="FFFFFF"/>
        <w:contextualSpacing/>
      </w:pPr>
      <w:r w:rsidRPr="00215F6F">
        <w:t xml:space="preserve">The rationale for adopting the rules exempting communications to ensure compliance with existing laws from the lobby compensation threshold is that such communications are not made </w:t>
      </w:r>
      <w:r w:rsidR="00A8765C">
        <w:t>to</w:t>
      </w:r>
      <w:r w:rsidRPr="00215F6F">
        <w:t xml:space="preserve"> influence </w:t>
      </w:r>
      <w:r w:rsidRPr="00215F6F">
        <w:lastRenderedPageBreak/>
        <w:t xml:space="preserve">legislative or administrative action </w:t>
      </w:r>
      <w:r w:rsidR="00215F6F" w:rsidRPr="00215F6F">
        <w:t xml:space="preserve">because there is </w:t>
      </w:r>
      <w:r w:rsidR="00CF6DBE" w:rsidRPr="00215F6F">
        <w:t>no</w:t>
      </w:r>
      <w:r w:rsidR="00215F6F" w:rsidRPr="00215F6F">
        <w:t xml:space="preserve"> attempt to change or create an exception to existing law</w:t>
      </w:r>
      <w:r w:rsidR="00FC3488">
        <w:t xml:space="preserve"> or policy</w:t>
      </w:r>
      <w:r w:rsidRPr="00215F6F">
        <w:t xml:space="preserve">. </w:t>
      </w:r>
      <w:r w:rsidR="00215F6F" w:rsidRPr="00215F6F">
        <w:rPr>
          <w:i/>
          <w:iCs/>
        </w:rPr>
        <w:t xml:space="preserve">See </w:t>
      </w:r>
      <w:r w:rsidRPr="00215F6F">
        <w:t xml:space="preserve">Tex. Ethics </w:t>
      </w:r>
      <w:r w:rsidR="00215F6F">
        <w:t xml:space="preserve">Comm’n </w:t>
      </w:r>
      <w:r w:rsidRPr="00215F6F">
        <w:t>Op. No. 15</w:t>
      </w:r>
      <w:r w:rsidR="00FF75DB">
        <w:t xml:space="preserve"> (1992)</w:t>
      </w:r>
      <w:r w:rsidRPr="00215F6F">
        <w:t xml:space="preserve">. However, communications meant to influence a change in a law or policy of general applicability is a lobby communication. </w:t>
      </w:r>
      <w:r w:rsidRPr="00215F6F">
        <w:rPr>
          <w:i/>
          <w:iCs/>
        </w:rPr>
        <w:t xml:space="preserve">See </w:t>
      </w:r>
      <w:r w:rsidRPr="00215F6F">
        <w:t xml:space="preserve">Tex. Ethics. Op. No. 89 (1992). </w:t>
      </w:r>
    </w:p>
    <w:p w14:paraId="056539BA" w14:textId="6733703A" w:rsidR="00B450CA" w:rsidRPr="00215F6F" w:rsidRDefault="00B450CA">
      <w:pPr>
        <w:pStyle w:val="NormalWeb"/>
        <w:shd w:val="clear" w:color="auto" w:fill="FFFFFF"/>
        <w:contextualSpacing/>
      </w:pPr>
    </w:p>
    <w:p w14:paraId="081AEE1A" w14:textId="7FDCCABB" w:rsidR="00215F6F" w:rsidRDefault="00215F6F">
      <w:pPr>
        <w:pStyle w:val="NormalWeb"/>
        <w:shd w:val="clear" w:color="auto" w:fill="FFFFFF"/>
        <w:contextualSpacing/>
      </w:pPr>
      <w:r w:rsidRPr="00215F6F">
        <w:t xml:space="preserve">The requestor </w:t>
      </w:r>
      <w:r w:rsidR="00C50670">
        <w:t xml:space="preserve">proposes to ask state officials about </w:t>
      </w:r>
      <w:r w:rsidRPr="00215F6F">
        <w:t xml:space="preserve">the current state of the law </w:t>
      </w:r>
      <w:r w:rsidR="00C50670">
        <w:t>and how to comply with it</w:t>
      </w:r>
      <w:r w:rsidR="007F752E">
        <w:t>,</w:t>
      </w:r>
      <w:r w:rsidR="00C50670">
        <w:t xml:space="preserve"> </w:t>
      </w:r>
      <w:r w:rsidRPr="00215F6F">
        <w:t>without suggesting what the answer should be. Under the TEC’s past opinions, a request seeking the clarification of the operation of a law or to seek compliance with an existing law is not a communication to influence administrative or legislative action under Chapter 305 of the Government Code.</w:t>
      </w:r>
      <w:r w:rsidR="00BA48F7">
        <w:t xml:space="preserve"> Therefore</w:t>
      </w:r>
      <w:r w:rsidR="00C50670">
        <w:t>,</w:t>
      </w:r>
      <w:r w:rsidR="00BA48F7">
        <w:t xml:space="preserve"> the requestor would not be prohibited from making </w:t>
      </w:r>
      <w:r w:rsidR="00C50670">
        <w:t>such</w:t>
      </w:r>
      <w:r w:rsidR="00BA48F7">
        <w:t xml:space="preserve"> </w:t>
      </w:r>
      <w:r w:rsidR="00C50670">
        <w:t>a communication by Section 305.030(b) nor would such a communication</w:t>
      </w:r>
      <w:r w:rsidR="007F752E">
        <w:t>,</w:t>
      </w:r>
      <w:r w:rsidR="00C50670">
        <w:t xml:space="preserve"> standing alone</w:t>
      </w:r>
      <w:r w:rsidR="007F752E">
        <w:t>,</w:t>
      </w:r>
      <w:r w:rsidR="00C50670">
        <w:t xml:space="preserve"> trigger registration under Section </w:t>
      </w:r>
      <w:r w:rsidR="00C50670" w:rsidRPr="00BA48F7">
        <w:t>305.003(a)(3).</w:t>
      </w:r>
    </w:p>
    <w:p w14:paraId="24CC87AF" w14:textId="77777777" w:rsidR="00C50670" w:rsidRDefault="00C50670">
      <w:pPr>
        <w:pStyle w:val="NormalWeb"/>
        <w:shd w:val="clear" w:color="auto" w:fill="FFFFFF"/>
        <w:contextualSpacing/>
      </w:pPr>
    </w:p>
    <w:p w14:paraId="60DAABC4" w14:textId="45F20CCB" w:rsidR="00C50670" w:rsidRPr="00215F6F" w:rsidRDefault="00C50670">
      <w:pPr>
        <w:pStyle w:val="NormalWeb"/>
        <w:shd w:val="clear" w:color="auto" w:fill="FFFFFF"/>
        <w:contextualSpacing/>
      </w:pPr>
    </w:p>
    <w:sectPr w:rsidR="00C50670" w:rsidRPr="00215F6F" w:rsidSect="004C11B6">
      <w:footerReference w:type="default" r:id="rId11"/>
      <w:pgSz w:w="12240" w:h="15840"/>
      <w:pgMar w:top="1360" w:right="1320" w:bottom="1260" w:left="1320" w:header="720" w:footer="106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A78B0" w14:textId="77777777" w:rsidR="00C66E6E" w:rsidRDefault="00C66E6E" w:rsidP="00F24510">
      <w:r>
        <w:separator/>
      </w:r>
    </w:p>
  </w:endnote>
  <w:endnote w:type="continuationSeparator" w:id="0">
    <w:p w14:paraId="2C2C70F6" w14:textId="77777777" w:rsidR="00C66E6E" w:rsidRDefault="00C66E6E" w:rsidP="00F24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1CDB" w14:textId="77777777" w:rsidR="002C6887" w:rsidRDefault="002C6887">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2C9153A0" wp14:editId="5E41EBAD">
              <wp:simplePos x="0" y="0"/>
              <wp:positionH relativeFrom="page">
                <wp:posOffset>3810045</wp:posOffset>
              </wp:positionH>
              <wp:positionV relativeFrom="page">
                <wp:posOffset>9243962</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A5FF413" w14:textId="20BC0A1F" w:rsidR="002C6887" w:rsidRDefault="002C6887">
                          <w:pPr>
                            <w:pStyle w:val="BodyText"/>
                            <w:spacing w:before="10"/>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865499">
                            <w:rPr>
                              <w:noProof/>
                              <w:color w:val="231F20"/>
                              <w:spacing w:val="-10"/>
                            </w:rPr>
                            <w:t>2</w:t>
                          </w:r>
                          <w:r>
                            <w:rPr>
                              <w:color w:val="231F20"/>
                              <w:spacing w:val="-10"/>
                            </w:rPr>
                            <w:fldChar w:fldCharType="end"/>
                          </w:r>
                        </w:p>
                      </w:txbxContent>
                    </wps:txbx>
                    <wps:bodyPr wrap="square" lIns="0" tIns="0" rIns="0" bIns="0" rtlCol="0">
                      <a:noAutofit/>
                    </wps:bodyPr>
                  </wps:wsp>
                </a:graphicData>
              </a:graphic>
            </wp:anchor>
          </w:drawing>
        </mc:Choice>
        <mc:Fallback>
          <w:pict>
            <v:shapetype w14:anchorId="2C9153A0" id="_x0000_t202" coordsize="21600,21600" o:spt="202" path="m,l,21600r21600,l21600,xe">
              <v:stroke joinstyle="miter"/>
              <v:path gradientshapeok="t" o:connecttype="rect"/>
            </v:shapetype>
            <v:shape id="Textbox 1" o:spid="_x0000_s1026" type="#_x0000_t202" style="position:absolute;margin-left:300pt;margin-top:727.85pt;width:13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" filled="f" stroked="f">
              <v:textbox inset="0,0,0,0">
                <w:txbxContent>
                  <w:p w14:paraId="5A5FF413" w14:textId="20BC0A1F" w:rsidR="002C6887" w:rsidRDefault="002C6887">
                    <w:pPr>
                      <w:pStyle w:val="BodyText"/>
                      <w:spacing w:before="10"/>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865499">
                      <w:rPr>
                        <w:noProof/>
                        <w:color w:val="231F20"/>
                        <w:spacing w:val="-10"/>
                      </w:rPr>
                      <w:t>2</w:t>
                    </w:r>
                    <w:r>
                      <w:rPr>
                        <w:color w:val="231F20"/>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435D3" w14:textId="77777777" w:rsidR="00C66E6E" w:rsidRDefault="00C66E6E" w:rsidP="00F24510">
      <w:r>
        <w:separator/>
      </w:r>
    </w:p>
  </w:footnote>
  <w:footnote w:type="continuationSeparator" w:id="0">
    <w:p w14:paraId="0C1B82D5" w14:textId="77777777" w:rsidR="00C66E6E" w:rsidRDefault="00C66E6E" w:rsidP="00F24510">
      <w:r>
        <w:continuationSeparator/>
      </w:r>
    </w:p>
  </w:footnote>
  <w:footnote w:id="1">
    <w:p w14:paraId="6A9A0D57" w14:textId="0CDF2870" w:rsidR="00D92D1D" w:rsidRDefault="00D92D1D" w:rsidP="00D92D1D">
      <w:r w:rsidRPr="00D92D1D">
        <w:rPr>
          <w:rStyle w:val="FootnoteReference"/>
          <w:sz w:val="20"/>
          <w:szCs w:val="20"/>
        </w:rPr>
        <w:footnoteRef/>
      </w:r>
      <w:r w:rsidRPr="00D92D1D">
        <w:rPr>
          <w:sz w:val="20"/>
          <w:szCs w:val="20"/>
        </w:rPr>
        <w:t xml:space="preserve"> Currently classified as foreign adversaries under 15 C.F.R. </w:t>
      </w:r>
      <w:r w:rsidR="00FF75DB" w:rsidRPr="00FF75DB">
        <w:rPr>
          <w:sz w:val="20"/>
          <w:szCs w:val="20"/>
        </w:rPr>
        <w:t>§</w:t>
      </w:r>
      <w:r w:rsidRPr="00D92D1D">
        <w:rPr>
          <w:sz w:val="20"/>
          <w:szCs w:val="20"/>
        </w:rPr>
        <w:t xml:space="preserve"> 791.4 are: The People’s Republic of China, Republic of Cuba, Islamic Republic of Iran, Democratic People’s Republic of Korea (North Korea), Russian Federation, and Venezuelan political Nicolás Maduro (Maduro Regime).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32DC5"/>
    <w:multiLevelType w:val="hybridMultilevel"/>
    <w:tmpl w:val="2BE0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A61766"/>
    <w:multiLevelType w:val="multilevel"/>
    <w:tmpl w:val="E3248A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DB7C61"/>
    <w:multiLevelType w:val="hybridMultilevel"/>
    <w:tmpl w:val="E37C9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A718BE"/>
    <w:multiLevelType w:val="hybridMultilevel"/>
    <w:tmpl w:val="AC722F88"/>
    <w:lvl w:ilvl="0" w:tplc="0B6A1F8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9466846">
    <w:abstractNumId w:val="2"/>
  </w:num>
  <w:num w:numId="2" w16cid:durableId="1689406121">
    <w:abstractNumId w:val="1"/>
  </w:num>
  <w:num w:numId="3" w16cid:durableId="2004578613">
    <w:abstractNumId w:val="1"/>
    <w:lvlOverride w:ilvl="0">
      <w:startOverride w:val="2"/>
    </w:lvlOverride>
  </w:num>
  <w:num w:numId="4" w16cid:durableId="1776559564">
    <w:abstractNumId w:val="1"/>
    <w:lvlOverride w:ilvl="0">
      <w:startOverride w:val="3"/>
    </w:lvlOverride>
  </w:num>
  <w:num w:numId="5" w16cid:durableId="850993545">
    <w:abstractNumId w:val="1"/>
  </w:num>
  <w:num w:numId="6" w16cid:durableId="1234777317">
    <w:abstractNumId w:val="3"/>
  </w:num>
  <w:num w:numId="7" w16cid:durableId="1615556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541"/>
    <w:rsid w:val="00000541"/>
    <w:rsid w:val="0000595C"/>
    <w:rsid w:val="00016A84"/>
    <w:rsid w:val="000240A7"/>
    <w:rsid w:val="00044357"/>
    <w:rsid w:val="00044454"/>
    <w:rsid w:val="001E472E"/>
    <w:rsid w:val="00207799"/>
    <w:rsid w:val="002155EE"/>
    <w:rsid w:val="00215F6F"/>
    <w:rsid w:val="00281DE7"/>
    <w:rsid w:val="0029097E"/>
    <w:rsid w:val="002C6887"/>
    <w:rsid w:val="002C6D23"/>
    <w:rsid w:val="002C6EF0"/>
    <w:rsid w:val="002D121E"/>
    <w:rsid w:val="002E03C3"/>
    <w:rsid w:val="00330AE4"/>
    <w:rsid w:val="003833C1"/>
    <w:rsid w:val="003901D0"/>
    <w:rsid w:val="003A63E3"/>
    <w:rsid w:val="00403E9D"/>
    <w:rsid w:val="0041388C"/>
    <w:rsid w:val="004241EE"/>
    <w:rsid w:val="0043433D"/>
    <w:rsid w:val="0046149C"/>
    <w:rsid w:val="004817BC"/>
    <w:rsid w:val="004A2852"/>
    <w:rsid w:val="004B3512"/>
    <w:rsid w:val="004C11B6"/>
    <w:rsid w:val="005078BC"/>
    <w:rsid w:val="00563225"/>
    <w:rsid w:val="00594656"/>
    <w:rsid w:val="005D6D77"/>
    <w:rsid w:val="00605A5D"/>
    <w:rsid w:val="00643910"/>
    <w:rsid w:val="00645E8C"/>
    <w:rsid w:val="00687AF0"/>
    <w:rsid w:val="006B7805"/>
    <w:rsid w:val="006E2AD6"/>
    <w:rsid w:val="006F54DF"/>
    <w:rsid w:val="00743D7F"/>
    <w:rsid w:val="0077697D"/>
    <w:rsid w:val="00786CD5"/>
    <w:rsid w:val="007A63CB"/>
    <w:rsid w:val="007B3180"/>
    <w:rsid w:val="007F752E"/>
    <w:rsid w:val="008471D1"/>
    <w:rsid w:val="00847E3B"/>
    <w:rsid w:val="00865499"/>
    <w:rsid w:val="00896DA0"/>
    <w:rsid w:val="008A1FB0"/>
    <w:rsid w:val="008A57C2"/>
    <w:rsid w:val="008A6A41"/>
    <w:rsid w:val="008C130D"/>
    <w:rsid w:val="008F7ED7"/>
    <w:rsid w:val="009167DD"/>
    <w:rsid w:val="009270A1"/>
    <w:rsid w:val="0099247F"/>
    <w:rsid w:val="00A00A5B"/>
    <w:rsid w:val="00A07FE3"/>
    <w:rsid w:val="00A12C34"/>
    <w:rsid w:val="00A6644F"/>
    <w:rsid w:val="00A81684"/>
    <w:rsid w:val="00A8765C"/>
    <w:rsid w:val="00AA5F92"/>
    <w:rsid w:val="00AC3925"/>
    <w:rsid w:val="00AC6CF3"/>
    <w:rsid w:val="00B450CA"/>
    <w:rsid w:val="00B630B7"/>
    <w:rsid w:val="00B819D4"/>
    <w:rsid w:val="00B84278"/>
    <w:rsid w:val="00BA3C14"/>
    <w:rsid w:val="00BA48F7"/>
    <w:rsid w:val="00BC6AB8"/>
    <w:rsid w:val="00BD0E14"/>
    <w:rsid w:val="00C27828"/>
    <w:rsid w:val="00C50670"/>
    <w:rsid w:val="00C66E6E"/>
    <w:rsid w:val="00C93D1E"/>
    <w:rsid w:val="00CB2BA7"/>
    <w:rsid w:val="00CF6DBE"/>
    <w:rsid w:val="00D24D79"/>
    <w:rsid w:val="00D57D46"/>
    <w:rsid w:val="00D74E3C"/>
    <w:rsid w:val="00D82854"/>
    <w:rsid w:val="00D926FE"/>
    <w:rsid w:val="00D92D1D"/>
    <w:rsid w:val="00DA05ED"/>
    <w:rsid w:val="00DC2857"/>
    <w:rsid w:val="00DF538D"/>
    <w:rsid w:val="00E350B0"/>
    <w:rsid w:val="00E501C7"/>
    <w:rsid w:val="00E567F7"/>
    <w:rsid w:val="00E75784"/>
    <w:rsid w:val="00E81061"/>
    <w:rsid w:val="00E85EBA"/>
    <w:rsid w:val="00EE7F77"/>
    <w:rsid w:val="00EF7DDC"/>
    <w:rsid w:val="00F03431"/>
    <w:rsid w:val="00F0351B"/>
    <w:rsid w:val="00F04FD0"/>
    <w:rsid w:val="00F24510"/>
    <w:rsid w:val="00F30C94"/>
    <w:rsid w:val="00F455B7"/>
    <w:rsid w:val="00F67692"/>
    <w:rsid w:val="00F71401"/>
    <w:rsid w:val="00F7688F"/>
    <w:rsid w:val="00FA0D73"/>
    <w:rsid w:val="00FC0682"/>
    <w:rsid w:val="00FC3488"/>
    <w:rsid w:val="00FD1437"/>
    <w:rsid w:val="00FF75DB"/>
    <w:rsid w:val="09681047"/>
    <w:rsid w:val="0F84B0F9"/>
    <w:rsid w:val="32E1ABF4"/>
    <w:rsid w:val="53190BE2"/>
    <w:rsid w:val="6E25933F"/>
    <w:rsid w:val="7AB3A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1E302"/>
  <w15:chartTrackingRefBased/>
  <w15:docId w15:val="{7203C713-1D32-41E1-88B2-0560E11D2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00541"/>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000541"/>
    <w:pPr>
      <w:ind w:left="26" w:right="27"/>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0541"/>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000541"/>
    <w:rPr>
      <w:sz w:val="24"/>
      <w:szCs w:val="24"/>
    </w:rPr>
  </w:style>
  <w:style w:type="character" w:customStyle="1" w:styleId="BodyTextChar">
    <w:name w:val="Body Text Char"/>
    <w:basedOn w:val="DefaultParagraphFont"/>
    <w:link w:val="BodyText"/>
    <w:uiPriority w:val="1"/>
    <w:rsid w:val="00000541"/>
    <w:rPr>
      <w:rFonts w:ascii="Times New Roman" w:eastAsia="Times New Roman" w:hAnsi="Times New Roman" w:cs="Times New Roman"/>
      <w:sz w:val="24"/>
      <w:szCs w:val="24"/>
    </w:rPr>
  </w:style>
  <w:style w:type="paragraph" w:styleId="Title">
    <w:name w:val="Title"/>
    <w:basedOn w:val="Normal"/>
    <w:link w:val="TitleChar"/>
    <w:uiPriority w:val="1"/>
    <w:qFormat/>
    <w:rsid w:val="00000541"/>
    <w:pPr>
      <w:ind w:left="35" w:right="27"/>
      <w:jc w:val="center"/>
    </w:pPr>
    <w:rPr>
      <w:b/>
      <w:bCs/>
      <w:sz w:val="28"/>
      <w:szCs w:val="28"/>
    </w:rPr>
  </w:style>
  <w:style w:type="character" w:customStyle="1" w:styleId="TitleChar">
    <w:name w:val="Title Char"/>
    <w:basedOn w:val="DefaultParagraphFont"/>
    <w:link w:val="Title"/>
    <w:uiPriority w:val="1"/>
    <w:rsid w:val="00000541"/>
    <w:rPr>
      <w:rFonts w:ascii="Times New Roman" w:eastAsia="Times New Roman" w:hAnsi="Times New Roman" w:cs="Times New Roman"/>
      <w:b/>
      <w:bCs/>
      <w:sz w:val="28"/>
      <w:szCs w:val="28"/>
    </w:rPr>
  </w:style>
  <w:style w:type="character" w:styleId="Emphasis">
    <w:name w:val="Emphasis"/>
    <w:basedOn w:val="DefaultParagraphFont"/>
    <w:uiPriority w:val="20"/>
    <w:qFormat/>
    <w:rsid w:val="00000541"/>
    <w:rPr>
      <w:i/>
      <w:iCs/>
    </w:rPr>
  </w:style>
  <w:style w:type="character" w:styleId="Strong">
    <w:name w:val="Strong"/>
    <w:basedOn w:val="DefaultParagraphFont"/>
    <w:uiPriority w:val="22"/>
    <w:qFormat/>
    <w:rsid w:val="00000541"/>
    <w:rPr>
      <w:b/>
      <w:bCs/>
    </w:rPr>
  </w:style>
  <w:style w:type="paragraph" w:styleId="NormalWeb">
    <w:name w:val="Normal (Web)"/>
    <w:basedOn w:val="Normal"/>
    <w:uiPriority w:val="99"/>
    <w:unhideWhenUsed/>
    <w:rsid w:val="00000541"/>
    <w:pPr>
      <w:widowControl/>
      <w:autoSpaceDE/>
      <w:autoSpaceDN/>
      <w:spacing w:before="100" w:beforeAutospacing="1" w:after="100" w:afterAutospacing="1"/>
    </w:pPr>
    <w:rPr>
      <w:sz w:val="24"/>
      <w:szCs w:val="24"/>
    </w:rPr>
  </w:style>
  <w:style w:type="character" w:styleId="Hyperlink">
    <w:name w:val="Hyperlink"/>
    <w:basedOn w:val="DefaultParagraphFont"/>
    <w:uiPriority w:val="99"/>
    <w:unhideWhenUsed/>
    <w:rsid w:val="00000541"/>
    <w:rPr>
      <w:color w:val="0000FF"/>
      <w:u w:val="single"/>
    </w:rPr>
  </w:style>
  <w:style w:type="paragraph" w:styleId="Header">
    <w:name w:val="header"/>
    <w:basedOn w:val="Normal"/>
    <w:link w:val="HeaderChar"/>
    <w:uiPriority w:val="99"/>
    <w:unhideWhenUsed/>
    <w:rsid w:val="00F24510"/>
    <w:pPr>
      <w:tabs>
        <w:tab w:val="center" w:pos="4680"/>
        <w:tab w:val="right" w:pos="9360"/>
      </w:tabs>
    </w:pPr>
  </w:style>
  <w:style w:type="character" w:customStyle="1" w:styleId="HeaderChar">
    <w:name w:val="Header Char"/>
    <w:basedOn w:val="DefaultParagraphFont"/>
    <w:link w:val="Header"/>
    <w:uiPriority w:val="99"/>
    <w:rsid w:val="00F24510"/>
    <w:rPr>
      <w:rFonts w:ascii="Times New Roman" w:eastAsia="Times New Roman" w:hAnsi="Times New Roman" w:cs="Times New Roman"/>
    </w:rPr>
  </w:style>
  <w:style w:type="paragraph" w:styleId="Footer">
    <w:name w:val="footer"/>
    <w:basedOn w:val="Normal"/>
    <w:link w:val="FooterChar"/>
    <w:uiPriority w:val="99"/>
    <w:unhideWhenUsed/>
    <w:rsid w:val="00F24510"/>
    <w:pPr>
      <w:tabs>
        <w:tab w:val="center" w:pos="4680"/>
        <w:tab w:val="right" w:pos="9360"/>
      </w:tabs>
    </w:pPr>
  </w:style>
  <w:style w:type="character" w:customStyle="1" w:styleId="FooterChar">
    <w:name w:val="Footer Char"/>
    <w:basedOn w:val="DefaultParagraphFont"/>
    <w:link w:val="Footer"/>
    <w:uiPriority w:val="99"/>
    <w:rsid w:val="00F24510"/>
    <w:rPr>
      <w:rFonts w:ascii="Times New Roman" w:eastAsia="Times New Roman" w:hAnsi="Times New Roman" w:cs="Times New Roman"/>
    </w:rPr>
  </w:style>
  <w:style w:type="paragraph" w:styleId="Revision">
    <w:name w:val="Revision"/>
    <w:hidden/>
    <w:uiPriority w:val="99"/>
    <w:semiHidden/>
    <w:rsid w:val="00AA5F92"/>
    <w:pPr>
      <w:spacing w:after="0" w:line="240" w:lineRule="auto"/>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E350B0"/>
    <w:rPr>
      <w:sz w:val="16"/>
      <w:szCs w:val="16"/>
    </w:rPr>
  </w:style>
  <w:style w:type="paragraph" w:styleId="CommentText">
    <w:name w:val="annotation text"/>
    <w:basedOn w:val="Normal"/>
    <w:link w:val="CommentTextChar"/>
    <w:uiPriority w:val="99"/>
    <w:unhideWhenUsed/>
    <w:rsid w:val="00E350B0"/>
    <w:rPr>
      <w:sz w:val="20"/>
      <w:szCs w:val="20"/>
    </w:rPr>
  </w:style>
  <w:style w:type="character" w:customStyle="1" w:styleId="CommentTextChar">
    <w:name w:val="Comment Text Char"/>
    <w:basedOn w:val="DefaultParagraphFont"/>
    <w:link w:val="CommentText"/>
    <w:uiPriority w:val="99"/>
    <w:rsid w:val="00E350B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350B0"/>
    <w:rPr>
      <w:b/>
      <w:bCs/>
    </w:rPr>
  </w:style>
  <w:style w:type="character" w:customStyle="1" w:styleId="CommentSubjectChar">
    <w:name w:val="Comment Subject Char"/>
    <w:basedOn w:val="CommentTextChar"/>
    <w:link w:val="CommentSubject"/>
    <w:uiPriority w:val="99"/>
    <w:semiHidden/>
    <w:rsid w:val="00E350B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138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88C"/>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D92D1D"/>
    <w:rPr>
      <w:sz w:val="20"/>
      <w:szCs w:val="20"/>
    </w:rPr>
  </w:style>
  <w:style w:type="character" w:customStyle="1" w:styleId="FootnoteTextChar">
    <w:name w:val="Footnote Text Char"/>
    <w:basedOn w:val="DefaultParagraphFont"/>
    <w:link w:val="FootnoteText"/>
    <w:uiPriority w:val="99"/>
    <w:semiHidden/>
    <w:rsid w:val="00D92D1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92D1D"/>
    <w:rPr>
      <w:vertAlign w:val="superscript"/>
    </w:rPr>
  </w:style>
  <w:style w:type="character" w:styleId="UnresolvedMention">
    <w:name w:val="Unresolved Mention"/>
    <w:basedOn w:val="DefaultParagraphFont"/>
    <w:uiPriority w:val="99"/>
    <w:semiHidden/>
    <w:unhideWhenUsed/>
    <w:rsid w:val="00A66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10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3736D2428F24F8C498F9E702D7896" ma:contentTypeVersion="13" ma:contentTypeDescription="Create a new document." ma:contentTypeScope="" ma:versionID="642ec7affb7b6ab3861ee6fb340ebd9c">
  <xsd:schema xmlns:xsd="http://www.w3.org/2001/XMLSchema" xmlns:xs="http://www.w3.org/2001/XMLSchema" xmlns:p="http://schemas.microsoft.com/office/2006/metadata/properties" xmlns:ns2="dd521080-2805-419b-bf22-9b46234655d8" xmlns:ns3="2ea3554c-6835-4ca8-a69c-83126e0fd764" targetNamespace="http://schemas.microsoft.com/office/2006/metadata/properties" ma:root="true" ma:fieldsID="9b310a811deaf941e20c55b59c884ac7" ns2:_="" ns3:_="">
    <xsd:import namespace="dd521080-2805-419b-bf22-9b46234655d8"/>
    <xsd:import namespace="2ea3554c-6835-4ca8-a69c-83126e0fd7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21080-2805-419b-bf22-9b46234655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fb69f0-3708-4cec-8771-40b5cee66e4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a3554c-6835-4ca8-a69c-83126e0fd7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92478f-4f84-4710-ac57-12dc848ac296}" ma:internalName="TaxCatchAll" ma:showField="CatchAllData" ma:web="2ea3554c-6835-4ca8-a69c-83126e0fd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521080-2805-419b-bf22-9b46234655d8">
      <Terms xmlns="http://schemas.microsoft.com/office/infopath/2007/PartnerControls"/>
    </lcf76f155ced4ddcb4097134ff3c332f>
    <TaxCatchAll xmlns="2ea3554c-6835-4ca8-a69c-83126e0fd7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ADFE6-751D-446E-BC69-93E3960C8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21080-2805-419b-bf22-9b46234655d8"/>
    <ds:schemaRef ds:uri="2ea3554c-6835-4ca8-a69c-83126e0fd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5AE735-A5DE-4CDE-A407-44C5E51F4311}">
  <ds:schemaRefs>
    <ds:schemaRef ds:uri="http://schemas.microsoft.com/office/2006/metadata/properties"/>
    <ds:schemaRef ds:uri="http://schemas.microsoft.com/office/infopath/2007/PartnerControls"/>
    <ds:schemaRef ds:uri="dd521080-2805-419b-bf22-9b46234655d8"/>
    <ds:schemaRef ds:uri="2ea3554c-6835-4ca8-a69c-83126e0fd764"/>
  </ds:schemaRefs>
</ds:datastoreItem>
</file>

<file path=customXml/itemProps3.xml><?xml version="1.0" encoding="utf-8"?>
<ds:datastoreItem xmlns:ds="http://schemas.openxmlformats.org/officeDocument/2006/customXml" ds:itemID="{6C547E2C-7418-4EC7-A518-339B115892C0}">
  <ds:schemaRefs>
    <ds:schemaRef ds:uri="http://schemas.microsoft.com/sharepoint/v3/contenttype/forms"/>
  </ds:schemaRefs>
</ds:datastoreItem>
</file>

<file path=customXml/itemProps4.xml><?xml version="1.0" encoding="utf-8"?>
<ds:datastoreItem xmlns:ds="http://schemas.openxmlformats.org/officeDocument/2006/customXml" ds:itemID="{CA81DFDE-EB99-41E3-A367-1AF3425D4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5226</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Tinley</dc:creator>
  <cp:keywords/>
  <dc:description/>
  <cp:lastModifiedBy>Patti Shannon</cp:lastModifiedBy>
  <cp:revision>2</cp:revision>
  <dcterms:created xsi:type="dcterms:W3CDTF">2026-02-12T17:31:00Z</dcterms:created>
  <dcterms:modified xsi:type="dcterms:W3CDTF">2026-02-12T17:31:00Z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0x0101001FA3736D2428F24F8C498F9E702D7896</vt:lpwstr>
  </property>
</Properties>
</file>